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BE20" w14:textId="34F93608" w:rsidR="00633EEC" w:rsidRPr="003D00C8" w:rsidRDefault="004B2263">
      <w:pPr>
        <w:rPr>
          <w:b/>
          <w:bCs/>
        </w:rPr>
      </w:pPr>
      <w:r>
        <w:rPr>
          <w:b/>
          <w:bCs/>
        </w:rPr>
        <w:t xml:space="preserve">Nástavbový obor </w:t>
      </w:r>
      <w:r w:rsidR="00CA22D2" w:rsidRPr="003D00C8">
        <w:rPr>
          <w:b/>
          <w:bCs/>
        </w:rPr>
        <w:t>Veřejné zdravotnictví</w:t>
      </w:r>
    </w:p>
    <w:p w14:paraId="2232E9E1" w14:textId="22B5807B" w:rsidR="003D798F" w:rsidRDefault="008A2E90">
      <w:pPr>
        <w:rPr>
          <w:b/>
          <w:bCs/>
        </w:rPr>
      </w:pPr>
      <w:r>
        <w:rPr>
          <w:b/>
          <w:bCs/>
        </w:rPr>
        <w:t>Vzdělávácí program</w:t>
      </w:r>
      <w:r w:rsidR="000818FE" w:rsidRPr="00D00ED7">
        <w:t xml:space="preserve"> </w:t>
      </w:r>
      <w:hyperlink r:id="rId5" w:history="1">
        <w:r w:rsidR="00912FA4" w:rsidRPr="00D00ED7">
          <w:rPr>
            <w:rStyle w:val="Hypertextovodkaz"/>
          </w:rPr>
          <w:t>Vestnik-MZ_03-2023</w:t>
        </w:r>
      </w:hyperlink>
    </w:p>
    <w:p w14:paraId="350397AF" w14:textId="2A009CDC" w:rsidR="000D5405" w:rsidRPr="003D1EED" w:rsidRDefault="000D5405" w:rsidP="000D5405">
      <w:r w:rsidRPr="000D5405">
        <w:rPr>
          <w:b/>
          <w:bCs/>
        </w:rPr>
        <w:t>Podání přihlášky k atestaci</w:t>
      </w:r>
      <w:r>
        <w:t xml:space="preserve"> – formulář zde: </w:t>
      </w:r>
      <w:hyperlink r:id="rId6" w:history="1">
        <w:r w:rsidRPr="00DF52AA">
          <w:rPr>
            <w:rStyle w:val="Hypertextovodkaz"/>
          </w:rPr>
          <w:t>Evidence zdravotnických pracovníků</w:t>
        </w:r>
      </w:hyperlink>
      <w:r>
        <w:t>, v papírové podobě je třeba zaslat na adresu IPVZ, studijní odd., Ruská 85, 100 00 Praha 10</w:t>
      </w:r>
      <w:r w:rsidR="00B761D1">
        <w:t xml:space="preserve"> nebo datovou schránkou </w:t>
      </w:r>
      <w:r w:rsidR="00C466AC" w:rsidRPr="00C466AC">
        <w:t>ID cf2uiwg</w:t>
      </w:r>
      <w:r>
        <w:t xml:space="preserve"> </w:t>
      </w:r>
      <w:r w:rsidR="00B334E8">
        <w:t xml:space="preserve">(doručení do IPVZ </w:t>
      </w:r>
      <w:r>
        <w:t>nejpozději 60 dnů před termínem atestace</w:t>
      </w:r>
      <w:r w:rsidR="00B334E8">
        <w:t>)</w:t>
      </w:r>
      <w:r>
        <w:t>. Poplatek za atestaci se nehradí – je hrazeno z projektu.</w:t>
      </w:r>
    </w:p>
    <w:p w14:paraId="645C96DF" w14:textId="39557718" w:rsidR="003D1EED" w:rsidRPr="003358D1" w:rsidRDefault="003D1EED" w:rsidP="001351BB">
      <w:pPr>
        <w:rPr>
          <w:b/>
          <w:bCs/>
        </w:rPr>
      </w:pPr>
      <w:r w:rsidRPr="003358D1">
        <w:rPr>
          <w:b/>
          <w:bCs/>
        </w:rPr>
        <w:t>Předpoklad pro přihlášení k závěrečné zkoušce</w:t>
      </w:r>
      <w:r w:rsidR="001351BB" w:rsidRPr="003358D1">
        <w:rPr>
          <w:b/>
          <w:bCs/>
        </w:rPr>
        <w:t>:</w:t>
      </w:r>
    </w:p>
    <w:p w14:paraId="0E34C416" w14:textId="6D8B0C59" w:rsidR="003D1EED" w:rsidRPr="003D1EED" w:rsidRDefault="003D1EED" w:rsidP="001351BB">
      <w:r w:rsidRPr="003D1EED">
        <w:t>• Absolvování 4 povinných kurzů (Moduly I. - IV.) a minimálně 4 povinně</w:t>
      </w:r>
      <w:r w:rsidR="009C71A2">
        <w:t>-</w:t>
      </w:r>
      <w:r w:rsidRPr="003D1EED">
        <w:t xml:space="preserve">volitelných kurzů </w:t>
      </w:r>
      <w:r w:rsidR="00175B24">
        <w:t>(</w:t>
      </w:r>
      <w:r w:rsidRPr="003D1EED">
        <w:t xml:space="preserve">modulů) z nabídky 8 kurzů </w:t>
      </w:r>
      <w:r w:rsidR="003E6FCA">
        <w:t xml:space="preserve">– </w:t>
      </w:r>
      <w:r w:rsidR="005B78FC">
        <w:t xml:space="preserve">potvrzení o absolvování </w:t>
      </w:r>
      <w:r w:rsidR="003E6FCA">
        <w:t>zajistí sekretariát ŠVZ na základě</w:t>
      </w:r>
      <w:r w:rsidR="003E6FCA">
        <w:t xml:space="preserve"> evidence </w:t>
      </w:r>
      <w:r w:rsidR="00C861EB">
        <w:t>docházky</w:t>
      </w:r>
    </w:p>
    <w:p w14:paraId="2B822AE2" w14:textId="5D2FF2B9" w:rsidR="003D1EED" w:rsidRDefault="003D1EED" w:rsidP="003D1EED">
      <w:r w:rsidRPr="003D1EED">
        <w:t>• Doporučení školitele o úspěšném ověření znalostí z minimálně 8</w:t>
      </w:r>
      <w:r w:rsidR="00F00381">
        <w:t xml:space="preserve"> </w:t>
      </w:r>
      <w:r w:rsidRPr="003D1EED">
        <w:t>absolvovaných kurzů (modulů)</w:t>
      </w:r>
      <w:r w:rsidR="00A723DD">
        <w:t xml:space="preserve"> – zajistí </w:t>
      </w:r>
      <w:r w:rsidR="006D3EE6">
        <w:t>sekretariát ŠVZ</w:t>
      </w:r>
      <w:r w:rsidR="00264C3F">
        <w:t xml:space="preserve"> na základě kazuistik odevzdaných po každém absolvovaném modulu</w:t>
      </w:r>
    </w:p>
    <w:p w14:paraId="3BB3EB1B" w14:textId="57C36F71" w:rsidR="003D1EED" w:rsidRPr="000750D7" w:rsidRDefault="003D1EED" w:rsidP="003D1EED">
      <w:pPr>
        <w:rPr>
          <w:b/>
          <w:bCs/>
        </w:rPr>
      </w:pPr>
      <w:r w:rsidRPr="000750D7">
        <w:rPr>
          <w:b/>
          <w:bCs/>
        </w:rPr>
        <w:t>Vlastní závěrečná zkouška</w:t>
      </w:r>
      <w:r w:rsidR="000750D7">
        <w:rPr>
          <w:b/>
          <w:bCs/>
        </w:rPr>
        <w:t>:</w:t>
      </w:r>
    </w:p>
    <w:p w14:paraId="6D3EA95A" w14:textId="74E94BF6" w:rsidR="00F81C71" w:rsidRPr="00624083" w:rsidRDefault="00F81C71" w:rsidP="00F81C7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ind w:left="284" w:right="282" w:hanging="284"/>
        <w:contextualSpacing w:val="0"/>
        <w:jc w:val="both"/>
        <w:rPr>
          <w:iCs/>
        </w:rPr>
      </w:pPr>
      <w:r w:rsidRPr="00624083">
        <w:rPr>
          <w:iCs/>
        </w:rPr>
        <w:t xml:space="preserve">Praktická část: </w:t>
      </w:r>
      <w:r w:rsidRPr="00472A09">
        <w:rPr>
          <w:iCs/>
        </w:rPr>
        <w:t>využití znalostí veřejného zdravotnictví ve vlastní lékařské praxi</w:t>
      </w:r>
      <w:r w:rsidR="00D40EDB">
        <w:rPr>
          <w:iCs/>
        </w:rPr>
        <w:t xml:space="preserve"> -</w:t>
      </w:r>
      <w:r w:rsidRPr="00472A09">
        <w:rPr>
          <w:iCs/>
        </w:rPr>
        <w:t xml:space="preserve"> kazuistika a její rozbor</w:t>
      </w:r>
      <w:r>
        <w:rPr>
          <w:iCs/>
        </w:rPr>
        <w:t xml:space="preserve"> – zadání pro kazuistiku je </w:t>
      </w:r>
      <w:r w:rsidR="0011004B">
        <w:rPr>
          <w:iCs/>
        </w:rPr>
        <w:t>na str. 2 tohoto dokumentu</w:t>
      </w:r>
      <w:r w:rsidR="008172B1">
        <w:rPr>
          <w:iCs/>
        </w:rPr>
        <w:t xml:space="preserve">, v el.podobě zde: </w:t>
      </w:r>
      <w:hyperlink r:id="rId7" w:history="1">
        <w:r w:rsidR="00EC30BC" w:rsidRPr="00EC30BC">
          <w:rPr>
            <w:rStyle w:val="Hypertextovodkaz"/>
            <w:iCs/>
          </w:rPr>
          <w:t>11752-atestacni-kazuistika-swot-analyza.pdf</w:t>
        </w:r>
      </w:hyperlink>
    </w:p>
    <w:p w14:paraId="17F3E0C7" w14:textId="0724E379" w:rsidR="00F81C71" w:rsidRPr="00624083" w:rsidRDefault="00F81C71" w:rsidP="00F81C7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ind w:left="284" w:right="282" w:hanging="284"/>
        <w:contextualSpacing w:val="0"/>
        <w:jc w:val="both"/>
        <w:rPr>
          <w:iCs/>
        </w:rPr>
      </w:pPr>
      <w:r w:rsidRPr="00624083">
        <w:rPr>
          <w:iCs/>
        </w:rPr>
        <w:t>Teoretická část: 1 otázka z každého ze 3 tematických okruhů:</w:t>
      </w:r>
      <w:r w:rsidR="00C337A3">
        <w:rPr>
          <w:iCs/>
        </w:rPr>
        <w:t xml:space="preserve"> </w:t>
      </w:r>
    </w:p>
    <w:p w14:paraId="0202E82C" w14:textId="77777777" w:rsidR="00F81C71" w:rsidRPr="00624083" w:rsidRDefault="00F81C71" w:rsidP="00F81C71">
      <w:pPr>
        <w:pStyle w:val="Odstavecseseznamem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567" w:right="282" w:hanging="284"/>
        <w:contextualSpacing w:val="0"/>
        <w:jc w:val="both"/>
        <w:rPr>
          <w:iCs/>
        </w:rPr>
      </w:pPr>
      <w:r w:rsidRPr="00624083">
        <w:rPr>
          <w:iCs/>
        </w:rPr>
        <w:t>Zdravotní a sociální politika, zdravotnická legislativa</w:t>
      </w:r>
    </w:p>
    <w:p w14:paraId="4491841A" w14:textId="77777777" w:rsidR="00F81C71" w:rsidRPr="00624083" w:rsidRDefault="00F81C71" w:rsidP="00F81C71">
      <w:pPr>
        <w:pStyle w:val="Odstavecseseznamem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567" w:right="282" w:hanging="284"/>
        <w:contextualSpacing w:val="0"/>
        <w:jc w:val="both"/>
        <w:rPr>
          <w:iCs/>
        </w:rPr>
      </w:pPr>
      <w:r w:rsidRPr="00624083">
        <w:rPr>
          <w:iCs/>
        </w:rPr>
        <w:t>Ochrana a podpora zdraví, zdravotní gramotnost</w:t>
      </w:r>
    </w:p>
    <w:p w14:paraId="1D85A20E" w14:textId="77777777" w:rsidR="00F81C71" w:rsidRPr="00624083" w:rsidRDefault="00F81C71" w:rsidP="00F81C71">
      <w:pPr>
        <w:pStyle w:val="Odstavecseseznamem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567" w:right="282" w:hanging="284"/>
        <w:contextualSpacing w:val="0"/>
        <w:jc w:val="both"/>
        <w:rPr>
          <w:iCs/>
        </w:rPr>
      </w:pPr>
      <w:r w:rsidRPr="00624083">
        <w:rPr>
          <w:iCs/>
        </w:rPr>
        <w:t>Ekonomika, finance, zdravotnický management</w:t>
      </w:r>
    </w:p>
    <w:p w14:paraId="1C91F2DD" w14:textId="0A2ECFF7" w:rsidR="00292638" w:rsidRDefault="00292638">
      <w:hyperlink r:id="rId8" w:history="1">
        <w:r w:rsidRPr="00292638">
          <w:rPr>
            <w:rStyle w:val="Hypertextovodkaz"/>
          </w:rPr>
          <w:t>Atestační otázky - Škola veřejného zdravotnictví | IPVZ</w:t>
        </w:r>
      </w:hyperlink>
    </w:p>
    <w:p w14:paraId="60E5D1C9" w14:textId="210A209D" w:rsidR="00624083" w:rsidRDefault="00DC534F">
      <w:r w:rsidRPr="00DC534F">
        <w:t xml:space="preserve">Závěrečnou zkoušku je možné opakovat 2x, nejdříve však </w:t>
      </w:r>
      <w:r w:rsidR="003A725D">
        <w:t>12</w:t>
      </w:r>
      <w:r w:rsidRPr="00DC534F">
        <w:t xml:space="preserve"> měsíců po neúspěšném pokusu.</w:t>
      </w:r>
    </w:p>
    <w:p w14:paraId="76A60DFD" w14:textId="72906C9B" w:rsidR="00DC534F" w:rsidRDefault="00DC534F">
      <w:r w:rsidRPr="00DC534F">
        <w:rPr>
          <w:b/>
          <w:bCs/>
        </w:rPr>
        <w:t>Dokument o absolvování</w:t>
      </w:r>
      <w:r w:rsidR="00346335">
        <w:rPr>
          <w:b/>
          <w:bCs/>
        </w:rPr>
        <w:t xml:space="preserve">: </w:t>
      </w:r>
      <w:r w:rsidR="0016655F">
        <w:t>Diplom o specializované</w:t>
      </w:r>
      <w:r w:rsidR="003D166C">
        <w:t xml:space="preserve"> způsobilosti </w:t>
      </w:r>
    </w:p>
    <w:p w14:paraId="323A9298" w14:textId="0692C8FE" w:rsidR="00994D48" w:rsidRDefault="004319A5">
      <w:r w:rsidRPr="00592D56">
        <w:rPr>
          <w:b/>
          <w:bCs/>
        </w:rPr>
        <w:t>Nejbližší termín</w:t>
      </w:r>
      <w:r w:rsidR="00EC30BC">
        <w:rPr>
          <w:b/>
          <w:bCs/>
        </w:rPr>
        <w:t xml:space="preserve"> zkoušky</w:t>
      </w:r>
      <w:r w:rsidR="0008112A" w:rsidRPr="00592D56">
        <w:rPr>
          <w:b/>
          <w:bCs/>
        </w:rPr>
        <w:t>:</w:t>
      </w:r>
      <w:r w:rsidR="00346335">
        <w:rPr>
          <w:b/>
          <w:bCs/>
        </w:rPr>
        <w:t xml:space="preserve"> </w:t>
      </w:r>
      <w:hyperlink r:id="rId9" w:history="1">
        <w:r w:rsidR="000F51B3" w:rsidRPr="000F51B3">
          <w:rPr>
            <w:rStyle w:val="Hypertextovodkaz"/>
          </w:rPr>
          <w:t>Termíny zkoušek - Škola veřejného zdravotnictví | IPVZ</w:t>
        </w:r>
      </w:hyperlink>
    </w:p>
    <w:p w14:paraId="3B30F29E" w14:textId="77777777" w:rsidR="00DF055F" w:rsidRPr="00DF055F" w:rsidRDefault="00994D48" w:rsidP="00994D48">
      <w:pPr>
        <w:rPr>
          <w:b/>
          <w:bCs/>
          <w:iCs/>
        </w:rPr>
      </w:pPr>
      <w:r>
        <w:br w:type="column"/>
      </w:r>
      <w:r w:rsidR="00672198" w:rsidRPr="00DF055F">
        <w:rPr>
          <w:b/>
          <w:bCs/>
        </w:rPr>
        <w:lastRenderedPageBreak/>
        <w:t>Praktická část</w:t>
      </w:r>
      <w:r w:rsidR="009402B8" w:rsidRPr="00DF055F">
        <w:rPr>
          <w:b/>
          <w:bCs/>
        </w:rPr>
        <w:t xml:space="preserve">: </w:t>
      </w:r>
      <w:r w:rsidR="009402B8" w:rsidRPr="00DF055F">
        <w:rPr>
          <w:b/>
          <w:bCs/>
          <w:iCs/>
        </w:rPr>
        <w:t xml:space="preserve">kazuistika a její rozbor </w:t>
      </w:r>
    </w:p>
    <w:p w14:paraId="77F31BE1" w14:textId="5FD8658C" w:rsidR="00994D48" w:rsidRPr="00994D48" w:rsidRDefault="00994D48" w:rsidP="00994D48">
      <w:pPr>
        <w:rPr>
          <w:b/>
          <w:bCs/>
        </w:rPr>
      </w:pPr>
      <w:r w:rsidRPr="00994D48">
        <w:rPr>
          <w:b/>
          <w:bCs/>
        </w:rPr>
        <w:t>Zadání: SWOT analýza vlastní organizace</w:t>
      </w:r>
    </w:p>
    <w:p w14:paraId="44817C13" w14:textId="77777777" w:rsidR="00994D48" w:rsidRPr="00994D48" w:rsidRDefault="00994D48" w:rsidP="00994D48">
      <w:pPr>
        <w:rPr>
          <w:b/>
          <w:bCs/>
        </w:rPr>
      </w:pPr>
      <w:r w:rsidRPr="00994D48">
        <w:rPr>
          <w:b/>
          <w:bCs/>
        </w:rPr>
        <w:t>Cíl:</w:t>
      </w:r>
    </w:p>
    <w:p w14:paraId="3681D020" w14:textId="77777777" w:rsidR="00994D48" w:rsidRPr="00994D48" w:rsidRDefault="00994D48" w:rsidP="00994D48">
      <w:r w:rsidRPr="00994D48">
        <w:t>Vypracujte podrobnou SWOT analýzu vlastní organizace, v níž působíte, nebo organizace, kterou dobře znáte (např. z předchozí praxe). Cílem je kriticky zhodnotit její současnou pozici na trhu a navrhnout strategická doporučení vycházející z identifikovaných silných a slabých stránek, příležitostí a hrozeb.</w:t>
      </w:r>
    </w:p>
    <w:p w14:paraId="2D1A32B1" w14:textId="77777777" w:rsidR="00994D48" w:rsidRPr="00994D48" w:rsidRDefault="00994D48" w:rsidP="00994D48">
      <w:r w:rsidRPr="00994D48">
        <w:rPr>
          <w:b/>
          <w:bCs/>
        </w:rPr>
        <w:t>Struktura výstupu:</w:t>
      </w:r>
    </w:p>
    <w:p w14:paraId="61178CB0" w14:textId="77777777" w:rsidR="00994D48" w:rsidRPr="00994D48" w:rsidRDefault="00994D48" w:rsidP="00994D48">
      <w:pPr>
        <w:rPr>
          <w:b/>
          <w:bCs/>
        </w:rPr>
      </w:pPr>
      <w:r w:rsidRPr="00994D48">
        <w:rPr>
          <w:b/>
          <w:bCs/>
        </w:rPr>
        <w:t>1. Základní informace o organizaci:</w:t>
      </w:r>
    </w:p>
    <w:p w14:paraId="5F7D145A" w14:textId="77777777" w:rsidR="00994D48" w:rsidRPr="00994D48" w:rsidRDefault="00994D48" w:rsidP="00DF055F">
      <w:pPr>
        <w:numPr>
          <w:ilvl w:val="0"/>
          <w:numId w:val="2"/>
        </w:numPr>
        <w:spacing w:after="0"/>
      </w:pPr>
      <w:r w:rsidRPr="00994D48">
        <w:t>Název organizace (může být anonymizován)</w:t>
      </w:r>
    </w:p>
    <w:p w14:paraId="5C82A76C" w14:textId="77777777" w:rsidR="00994D48" w:rsidRPr="00994D48" w:rsidRDefault="00994D48" w:rsidP="00DF055F">
      <w:pPr>
        <w:numPr>
          <w:ilvl w:val="0"/>
          <w:numId w:val="2"/>
        </w:numPr>
        <w:spacing w:after="0"/>
      </w:pPr>
      <w:r w:rsidRPr="00994D48">
        <w:t>Oblast činnosti</w:t>
      </w:r>
    </w:p>
    <w:p w14:paraId="6A22459D" w14:textId="1D9460C1" w:rsidR="00DF055F" w:rsidRPr="00994D48" w:rsidRDefault="00994D48" w:rsidP="00DF055F">
      <w:pPr>
        <w:numPr>
          <w:ilvl w:val="0"/>
          <w:numId w:val="2"/>
        </w:numPr>
      </w:pPr>
      <w:r w:rsidRPr="00994D48">
        <w:t>Velikost (počet zaměstnanců, obrat)</w:t>
      </w:r>
    </w:p>
    <w:p w14:paraId="74FD2CA2" w14:textId="77777777" w:rsidR="00994D48" w:rsidRPr="00994D48" w:rsidRDefault="00994D48" w:rsidP="00994D48">
      <w:pPr>
        <w:rPr>
          <w:b/>
          <w:bCs/>
        </w:rPr>
      </w:pPr>
      <w:r w:rsidRPr="00994D48">
        <w:rPr>
          <w:b/>
          <w:bCs/>
        </w:rPr>
        <w:t>2. SWOT analýza:</w:t>
      </w:r>
    </w:p>
    <w:p w14:paraId="2FA62B27" w14:textId="77777777" w:rsidR="00994D48" w:rsidRPr="00994D48" w:rsidRDefault="00994D48" w:rsidP="00994D48">
      <w:r w:rsidRPr="00994D48">
        <w:t>Vytvořte tabulku nebo přehled čtyř oblastí:</w:t>
      </w:r>
    </w:p>
    <w:p w14:paraId="14D24B04" w14:textId="77777777" w:rsidR="00994D48" w:rsidRPr="00994D48" w:rsidRDefault="00994D48" w:rsidP="00DF055F">
      <w:pPr>
        <w:numPr>
          <w:ilvl w:val="0"/>
          <w:numId w:val="3"/>
        </w:numPr>
        <w:spacing w:after="0"/>
      </w:pPr>
      <w:r w:rsidRPr="00994D48">
        <w:rPr>
          <w:b/>
          <w:bCs/>
        </w:rPr>
        <w:t>Strengths (Silné stránky):</w:t>
      </w:r>
      <w:r w:rsidRPr="00994D48">
        <w:t> Co organizace dělá dobře? Jaké má konkurenční výhody?</w:t>
      </w:r>
    </w:p>
    <w:p w14:paraId="629495BE" w14:textId="77777777" w:rsidR="00994D48" w:rsidRPr="00994D48" w:rsidRDefault="00994D48" w:rsidP="00DF055F">
      <w:pPr>
        <w:numPr>
          <w:ilvl w:val="0"/>
          <w:numId w:val="3"/>
        </w:numPr>
        <w:spacing w:after="0"/>
      </w:pPr>
      <w:r w:rsidRPr="00994D48">
        <w:rPr>
          <w:b/>
          <w:bCs/>
        </w:rPr>
        <w:t>Weaknesses (Slabé stránky):</w:t>
      </w:r>
      <w:r w:rsidRPr="00994D48">
        <w:t> Kde jsou její slabiny? Co by mohlo být zlepšeno?</w:t>
      </w:r>
    </w:p>
    <w:p w14:paraId="79418A30" w14:textId="77777777" w:rsidR="00994D48" w:rsidRPr="00994D48" w:rsidRDefault="00994D48" w:rsidP="00DF055F">
      <w:pPr>
        <w:numPr>
          <w:ilvl w:val="0"/>
          <w:numId w:val="3"/>
        </w:numPr>
        <w:spacing w:after="0"/>
      </w:pPr>
      <w:r w:rsidRPr="00994D48">
        <w:rPr>
          <w:b/>
          <w:bCs/>
        </w:rPr>
        <w:t>Opportunities (Příležitosti):</w:t>
      </w:r>
      <w:r w:rsidRPr="00994D48">
        <w:t> Jaké vnější faktory může využít pro růst nebo inovaci?</w:t>
      </w:r>
    </w:p>
    <w:p w14:paraId="625F506B" w14:textId="77777777" w:rsidR="00994D48" w:rsidRPr="00994D48" w:rsidRDefault="00994D48" w:rsidP="00994D48">
      <w:pPr>
        <w:numPr>
          <w:ilvl w:val="0"/>
          <w:numId w:val="3"/>
        </w:numPr>
      </w:pPr>
      <w:r w:rsidRPr="00994D48">
        <w:rPr>
          <w:b/>
          <w:bCs/>
        </w:rPr>
        <w:t>Threats (Hrozby):</w:t>
      </w:r>
      <w:r w:rsidRPr="00994D48">
        <w:t> Jaké vnější faktory mohou ohrozit její stabilitu či rozvoj?</w:t>
      </w:r>
    </w:p>
    <w:p w14:paraId="7D9CF1CF" w14:textId="77777777" w:rsidR="00994D48" w:rsidRPr="00994D48" w:rsidRDefault="00994D48" w:rsidP="00994D48">
      <w:pPr>
        <w:rPr>
          <w:b/>
          <w:bCs/>
        </w:rPr>
      </w:pPr>
      <w:r w:rsidRPr="00994D48">
        <w:rPr>
          <w:b/>
          <w:bCs/>
        </w:rPr>
        <w:t>3. Analýza a interpretace:</w:t>
      </w:r>
    </w:p>
    <w:p w14:paraId="08F58358" w14:textId="77777777" w:rsidR="00994D48" w:rsidRPr="00994D48" w:rsidRDefault="00994D48" w:rsidP="00DF055F">
      <w:pPr>
        <w:numPr>
          <w:ilvl w:val="0"/>
          <w:numId w:val="4"/>
        </w:numPr>
        <w:spacing w:after="0"/>
      </w:pPr>
      <w:r w:rsidRPr="00994D48">
        <w:t>Jak silné a slabé stránky souvisejí s příležitostmi a hrozbami?</w:t>
      </w:r>
    </w:p>
    <w:p w14:paraId="4DBC853C" w14:textId="77777777" w:rsidR="00994D48" w:rsidRPr="00994D48" w:rsidRDefault="00994D48" w:rsidP="00994D48">
      <w:pPr>
        <w:numPr>
          <w:ilvl w:val="0"/>
          <w:numId w:val="4"/>
        </w:numPr>
      </w:pPr>
      <w:r w:rsidRPr="00994D48">
        <w:t>Kde jsou klíčové body pro strategický rozvoj?</w:t>
      </w:r>
    </w:p>
    <w:p w14:paraId="54502676" w14:textId="77777777" w:rsidR="00994D48" w:rsidRPr="00994D48" w:rsidRDefault="00994D48" w:rsidP="00994D48">
      <w:pPr>
        <w:rPr>
          <w:b/>
          <w:bCs/>
        </w:rPr>
      </w:pPr>
      <w:r w:rsidRPr="00994D48">
        <w:rPr>
          <w:b/>
          <w:bCs/>
        </w:rPr>
        <w:t>4. Doporučení:</w:t>
      </w:r>
    </w:p>
    <w:p w14:paraId="21E06AA4" w14:textId="77777777" w:rsidR="00994D48" w:rsidRPr="00994D48" w:rsidRDefault="00994D48" w:rsidP="00994D48">
      <w:r w:rsidRPr="00994D48">
        <w:t>Navrhněte 2–3 konkrétní strategická doporučení pro další rozvoj organizace na základě SWOT analýzy.</w:t>
      </w:r>
    </w:p>
    <w:p w14:paraId="3967CD07" w14:textId="77777777" w:rsidR="00994D48" w:rsidRPr="00994D48" w:rsidRDefault="00994D48" w:rsidP="00994D48">
      <w:pPr>
        <w:rPr>
          <w:b/>
          <w:bCs/>
        </w:rPr>
      </w:pPr>
      <w:r w:rsidRPr="00994D48">
        <w:rPr>
          <w:b/>
          <w:bCs/>
        </w:rPr>
        <w:t>5. Závěr:</w:t>
      </w:r>
    </w:p>
    <w:p w14:paraId="5E3148E7" w14:textId="77777777" w:rsidR="00994D48" w:rsidRPr="00994D48" w:rsidRDefault="00994D48" w:rsidP="00994D48">
      <w:pPr>
        <w:rPr>
          <w:b/>
          <w:bCs/>
        </w:rPr>
      </w:pPr>
      <w:r w:rsidRPr="00994D48">
        <w:t>Shrnutí hlavních zjištění a osobní reflexe nad silnými/slabými stránkami organizace.</w:t>
      </w:r>
    </w:p>
    <w:p w14:paraId="23C6AB13" w14:textId="77777777" w:rsidR="00994D48" w:rsidRPr="00994D48" w:rsidRDefault="00994D48" w:rsidP="00994D48">
      <w:r w:rsidRPr="00994D48">
        <w:rPr>
          <w:b/>
          <w:bCs/>
        </w:rPr>
        <w:t>Formát:</w:t>
      </w:r>
    </w:p>
    <w:p w14:paraId="179DB39F" w14:textId="77777777" w:rsidR="00994D48" w:rsidRPr="00994D48" w:rsidRDefault="00994D48" w:rsidP="00DF055F">
      <w:pPr>
        <w:numPr>
          <w:ilvl w:val="0"/>
          <w:numId w:val="5"/>
        </w:numPr>
        <w:spacing w:after="0"/>
      </w:pPr>
      <w:r w:rsidRPr="00994D48">
        <w:t>Rozsah: 3–5 normostran (bez příloh)</w:t>
      </w:r>
    </w:p>
    <w:p w14:paraId="1800ABB0" w14:textId="77777777" w:rsidR="00994D48" w:rsidRPr="00994D48" w:rsidRDefault="00994D48" w:rsidP="00DF055F">
      <w:pPr>
        <w:numPr>
          <w:ilvl w:val="0"/>
          <w:numId w:val="5"/>
        </w:numPr>
        <w:spacing w:after="0"/>
      </w:pPr>
      <w:r w:rsidRPr="00994D48">
        <w:t>Formát: PDF nebo DOCX</w:t>
      </w:r>
    </w:p>
    <w:p w14:paraId="6CC73901" w14:textId="77777777" w:rsidR="00994D48" w:rsidRPr="00994D48" w:rsidRDefault="00994D48" w:rsidP="00994D48">
      <w:pPr>
        <w:numPr>
          <w:ilvl w:val="0"/>
          <w:numId w:val="5"/>
        </w:numPr>
      </w:pPr>
      <w:r w:rsidRPr="00994D48">
        <w:t>Možnost přiložit grafy, tabulky, schémata (např. SWOT matice)</w:t>
      </w:r>
    </w:p>
    <w:p w14:paraId="31E2D2CD" w14:textId="77777777" w:rsidR="00994D48" w:rsidRPr="00994D48" w:rsidRDefault="00994D48" w:rsidP="00994D48">
      <w:pPr>
        <w:rPr>
          <w:b/>
          <w:bCs/>
        </w:rPr>
      </w:pPr>
      <w:r w:rsidRPr="00994D48">
        <w:rPr>
          <w:b/>
          <w:bCs/>
        </w:rPr>
        <w:t>Hodnocení bude založeno na:</w:t>
      </w:r>
    </w:p>
    <w:p w14:paraId="65BDCAA0" w14:textId="77777777" w:rsidR="00994D48" w:rsidRPr="00994D48" w:rsidRDefault="00994D48" w:rsidP="00DF055F">
      <w:pPr>
        <w:numPr>
          <w:ilvl w:val="0"/>
          <w:numId w:val="6"/>
        </w:numPr>
        <w:spacing w:after="0"/>
      </w:pPr>
      <w:r w:rsidRPr="00994D48">
        <w:t>Hloubce a věcnosti analýzy</w:t>
      </w:r>
    </w:p>
    <w:p w14:paraId="3D135941" w14:textId="77777777" w:rsidR="00994D48" w:rsidRPr="00994D48" w:rsidRDefault="00994D48" w:rsidP="00DF055F">
      <w:pPr>
        <w:numPr>
          <w:ilvl w:val="0"/>
          <w:numId w:val="6"/>
        </w:numPr>
        <w:spacing w:after="0"/>
      </w:pPr>
      <w:r w:rsidRPr="00994D48">
        <w:t>Schopnosti propojit teoretické poznatky s praxí</w:t>
      </w:r>
    </w:p>
    <w:p w14:paraId="2A53F97E" w14:textId="77777777" w:rsidR="00994D48" w:rsidRPr="00994D48" w:rsidRDefault="00994D48" w:rsidP="00DF055F">
      <w:pPr>
        <w:numPr>
          <w:ilvl w:val="0"/>
          <w:numId w:val="6"/>
        </w:numPr>
        <w:spacing w:after="0"/>
      </w:pPr>
      <w:r w:rsidRPr="00994D48">
        <w:t>Realističnosti navržených doporučení</w:t>
      </w:r>
    </w:p>
    <w:p w14:paraId="7297194F" w14:textId="77777777" w:rsidR="00994D48" w:rsidRPr="00994D48" w:rsidRDefault="00994D48" w:rsidP="00DF055F">
      <w:pPr>
        <w:numPr>
          <w:ilvl w:val="0"/>
          <w:numId w:val="6"/>
        </w:numPr>
        <w:spacing w:after="0"/>
      </w:pPr>
      <w:r w:rsidRPr="00994D48">
        <w:t>Jasnosti a strukturovanosti výstupu</w:t>
      </w:r>
    </w:p>
    <w:p w14:paraId="29B2D0EE" w14:textId="77777777" w:rsidR="00994D48" w:rsidRPr="00994D48" w:rsidRDefault="00994D48" w:rsidP="00994D48">
      <w:pPr>
        <w:rPr>
          <w:lang w:val="en-US"/>
        </w:rPr>
      </w:pPr>
    </w:p>
    <w:p w14:paraId="0C8FAADB" w14:textId="4C05FD39" w:rsidR="0008112A" w:rsidRPr="00DC534F" w:rsidRDefault="0008112A"/>
    <w:sectPr w:rsidR="0008112A" w:rsidRPr="00DC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BC6"/>
    <w:multiLevelType w:val="multilevel"/>
    <w:tmpl w:val="750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A4DA8"/>
    <w:multiLevelType w:val="multilevel"/>
    <w:tmpl w:val="F32C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705AF"/>
    <w:multiLevelType w:val="multilevel"/>
    <w:tmpl w:val="639C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E5E14"/>
    <w:multiLevelType w:val="hybridMultilevel"/>
    <w:tmpl w:val="FDBEFA16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693D2891"/>
    <w:multiLevelType w:val="multilevel"/>
    <w:tmpl w:val="DBC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97E8E"/>
    <w:multiLevelType w:val="multilevel"/>
    <w:tmpl w:val="DE88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446113">
    <w:abstractNumId w:val="3"/>
  </w:num>
  <w:num w:numId="2" w16cid:durableId="1375814020">
    <w:abstractNumId w:val="2"/>
  </w:num>
  <w:num w:numId="3" w16cid:durableId="1915817671">
    <w:abstractNumId w:val="1"/>
  </w:num>
  <w:num w:numId="4" w16cid:durableId="1531453911">
    <w:abstractNumId w:val="0"/>
  </w:num>
  <w:num w:numId="5" w16cid:durableId="188373917">
    <w:abstractNumId w:val="4"/>
  </w:num>
  <w:num w:numId="6" w16cid:durableId="374693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D2"/>
    <w:rsid w:val="00013505"/>
    <w:rsid w:val="000379F8"/>
    <w:rsid w:val="00045A9C"/>
    <w:rsid w:val="00054FB1"/>
    <w:rsid w:val="00066861"/>
    <w:rsid w:val="0007360A"/>
    <w:rsid w:val="000750D7"/>
    <w:rsid w:val="0008112A"/>
    <w:rsid w:val="000818FE"/>
    <w:rsid w:val="000D5405"/>
    <w:rsid w:val="000F51B3"/>
    <w:rsid w:val="0011004B"/>
    <w:rsid w:val="001351BB"/>
    <w:rsid w:val="0016655F"/>
    <w:rsid w:val="00171A5F"/>
    <w:rsid w:val="00175B24"/>
    <w:rsid w:val="00185A5C"/>
    <w:rsid w:val="001B1BCA"/>
    <w:rsid w:val="001B247C"/>
    <w:rsid w:val="001C017D"/>
    <w:rsid w:val="001C7D72"/>
    <w:rsid w:val="00264C3F"/>
    <w:rsid w:val="0027124A"/>
    <w:rsid w:val="00292638"/>
    <w:rsid w:val="00292675"/>
    <w:rsid w:val="003358D1"/>
    <w:rsid w:val="00346335"/>
    <w:rsid w:val="00346E00"/>
    <w:rsid w:val="00383711"/>
    <w:rsid w:val="003A725D"/>
    <w:rsid w:val="003D00C8"/>
    <w:rsid w:val="003D166C"/>
    <w:rsid w:val="003D1EED"/>
    <w:rsid w:val="003D798F"/>
    <w:rsid w:val="003E6FCA"/>
    <w:rsid w:val="003F4370"/>
    <w:rsid w:val="004319A5"/>
    <w:rsid w:val="00466AE3"/>
    <w:rsid w:val="00472A09"/>
    <w:rsid w:val="00475B44"/>
    <w:rsid w:val="00487333"/>
    <w:rsid w:val="004B2263"/>
    <w:rsid w:val="004D2219"/>
    <w:rsid w:val="005176EF"/>
    <w:rsid w:val="005539A1"/>
    <w:rsid w:val="00592D56"/>
    <w:rsid w:val="005B293F"/>
    <w:rsid w:val="005B78FC"/>
    <w:rsid w:val="00606272"/>
    <w:rsid w:val="00624083"/>
    <w:rsid w:val="00633EEC"/>
    <w:rsid w:val="00665AED"/>
    <w:rsid w:val="00672198"/>
    <w:rsid w:val="00683B2B"/>
    <w:rsid w:val="006D3EE6"/>
    <w:rsid w:val="006D7317"/>
    <w:rsid w:val="007354F5"/>
    <w:rsid w:val="007359B6"/>
    <w:rsid w:val="007D43DA"/>
    <w:rsid w:val="007D663D"/>
    <w:rsid w:val="00813CD0"/>
    <w:rsid w:val="008172B1"/>
    <w:rsid w:val="00877C85"/>
    <w:rsid w:val="008A2E90"/>
    <w:rsid w:val="008E40A7"/>
    <w:rsid w:val="00912FA4"/>
    <w:rsid w:val="009402B8"/>
    <w:rsid w:val="00954A3B"/>
    <w:rsid w:val="00964951"/>
    <w:rsid w:val="00994D48"/>
    <w:rsid w:val="009A1A73"/>
    <w:rsid w:val="009C71A2"/>
    <w:rsid w:val="00A723DD"/>
    <w:rsid w:val="00B1629D"/>
    <w:rsid w:val="00B334E8"/>
    <w:rsid w:val="00B761D1"/>
    <w:rsid w:val="00BA67CE"/>
    <w:rsid w:val="00BF041B"/>
    <w:rsid w:val="00C337A3"/>
    <w:rsid w:val="00C466AC"/>
    <w:rsid w:val="00C861EB"/>
    <w:rsid w:val="00CA22D2"/>
    <w:rsid w:val="00D00ED7"/>
    <w:rsid w:val="00D40EDB"/>
    <w:rsid w:val="00D4443C"/>
    <w:rsid w:val="00DC534F"/>
    <w:rsid w:val="00DF055F"/>
    <w:rsid w:val="00DF52AA"/>
    <w:rsid w:val="00E0543E"/>
    <w:rsid w:val="00E1301D"/>
    <w:rsid w:val="00EC30BC"/>
    <w:rsid w:val="00F00381"/>
    <w:rsid w:val="00F01AEA"/>
    <w:rsid w:val="00F33DAD"/>
    <w:rsid w:val="00F4435C"/>
    <w:rsid w:val="00F60DF2"/>
    <w:rsid w:val="00F81C71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0F9B"/>
  <w15:chartTrackingRefBased/>
  <w15:docId w15:val="{9FE72A71-E54C-4A48-8426-4E7A0025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2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2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2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2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2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2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2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2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22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2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22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22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22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22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2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2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2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22D2"/>
    <w:rPr>
      <w:i/>
      <w:iCs/>
      <w:color w:val="404040" w:themeColor="text1" w:themeTint="BF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,List Paragraph"/>
    <w:basedOn w:val="Normln"/>
    <w:link w:val="OdstavecseseznamemChar"/>
    <w:qFormat/>
    <w:rsid w:val="00CA22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22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2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22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22D2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qFormat/>
    <w:rsid w:val="00624083"/>
  </w:style>
  <w:style w:type="table" w:styleId="Mkatabulky">
    <w:name w:val="Table Grid"/>
    <w:basedOn w:val="Normlntabulka"/>
    <w:uiPriority w:val="39"/>
    <w:rsid w:val="0062408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2DA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DA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172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z.cz/o-ipvz/kontakty/pedagogicka-pracoviste/skola-verejneho-zdravotnictvi/atestacni-otaz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vz.cz/seznam-souboru/11752-atestacni-kazuistika-swot-analyz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p.mzcr.cz/Request/Create?type=SL38ATESTACE&amp;instrexp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pvz.cz/seznam-souboru/8556-verejne-zdravotnictvi-202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vz.cz/o-ipvz/kontakty/pedagogicka-pracoviste/skola-verejneho-zdravotnictvi/terminy-atestac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Zburníková Kateřina</dc:creator>
  <cp:keywords/>
  <dc:description/>
  <cp:lastModifiedBy>Zburníková Kateřina</cp:lastModifiedBy>
  <cp:revision>9</cp:revision>
  <cp:lastPrinted>2025-02-26T11:20:00Z</cp:lastPrinted>
  <dcterms:created xsi:type="dcterms:W3CDTF">2025-07-02T09:07:00Z</dcterms:created>
  <dcterms:modified xsi:type="dcterms:W3CDTF">2025-08-22T12:59:00Z</dcterms:modified>
</cp:coreProperties>
</file>